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="276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52"/>
          <w:szCs w:val="52"/>
          <w:rtl w:val="0"/>
        </w:rPr>
        <w:t xml:space="preserve">Clinical Diagnosis Assignment Approach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76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Planning outline for Assignment 1: Clinical Diagnosis Using DSM-5-TR and ICD-11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40"/>
          <w:szCs w:val="40"/>
          <w:rtl w:val="0"/>
        </w:rPr>
        <w:t xml:space="preserve">Recommended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before="0" w:line="276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Treat the assignment as a diagnostic argument rather than a general descriptive essay. The strongest paper will make one defensible diagnosis, map the case evidence directly to DSM-5-TR and ICD-11 criteria, rule out plausible alternatives, and connect the symptoms to brain-behavior evidence from peer-reviewed sources.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40"/>
          <w:szCs w:val="40"/>
          <w:rtl w:val="0"/>
        </w:rPr>
        <w:t xml:space="preserve">Recommended Case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before="0" w:line="276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Choose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Clinical Case B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It gives the cleanest evidence trail because the personality and behavioral changes appear after a mild cerebrovascular event affecting frontal and subcortical regions, with neuroimaging evidence of frontal-striatal disruption.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diagnostic direction: Personality Change Due to Another Medical Condition, framed around acquired frontal-subcortical dysfunction.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ICD-11 direction: mental or behavioral disorder due to brain disease, damage, or dysfunction; verify exact ICD-11 wording before final submission.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Core thesis: the post-event onset, behavioral disinhibition, reduced empathy, emotional blunting, impaired judgment, and poor insight are best explained by acquired frontal-system disruption rather than a primary mood, personality, or neurodegenerative disorder.</w:t>
      </w:r>
    </w:p>
    <w:p w:rsidR="00000000" w:rsidDel="00000000" w:rsidP="00000000" w:rsidRDefault="00000000" w:rsidRPr="00000000" w14:paraId="0000000A">
      <w:pPr>
        <w:pStyle w:val="Heading1"/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40"/>
          <w:szCs w:val="40"/>
          <w:rtl w:val="0"/>
        </w:rPr>
        <w:t xml:space="preserve">Working Thesis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0" w:line="276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most appropriate diagnosis for Case B is an acquired personality or behavioral change due to another medical condition because the symptoms emerged after a documented cerebrovascular event involving frontal-subcortical circuitry. The case evidence aligns with known effects of frontal and frontal-striatal disruption on judgment, inhibition, empathy, emotional regulation, and insight.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40"/>
          <w:szCs w:val="40"/>
          <w:rtl w:val="0"/>
        </w:rPr>
        <w:t xml:space="preserve">Suggested Paper 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Introduction: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100-150 words. Identify Case B, state the primary diagnosis, and preview the argument that neurological injury provides the strongest explanation.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Diagnosis: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150-200 words. Name the DSM-5-TR and ICD-11 diagnostic framing, then explain why post-event personality and behavioral change fits better than a primary psychiatric condition.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Criteria Mapping Table: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a compact table to connect each diagnostic requirement to concrete case evidence. This directly addresses the highest-weight rubric category.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Differential Diagnosis: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250-300 words. Rule out at least two alternatives by comparing onset, symptom pattern, neuroimaging, and missing criteria.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Neuroscientific Evidence: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300-400 words. Use 3-5 peer-reviewed sources to explain frontal, orbitofrontal, ventromedial prefrontal, and frontal-striatal contributions to the case presentation.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Conclusion: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100-150 words. Synthesize why the primary diagnosis is strongest and identify missing information that would sharpen diagnostic confidence.</w:t>
      </w:r>
    </w:p>
    <w:p w:rsidR="00000000" w:rsidDel="00000000" w:rsidP="00000000" w:rsidRDefault="00000000" w:rsidRPr="00000000" w14:paraId="00000013">
      <w:pPr>
        <w:pStyle w:val="Heading1"/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40"/>
          <w:szCs w:val="40"/>
          <w:rtl w:val="0"/>
        </w:rPr>
        <w:t xml:space="preserve">Criteria Mapping Scaffold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15.0" w:type="dxa"/>
        <w:tblBorders>
          <w:top w:color="dadce0" w:space="0" w:sz="6" w:val="single"/>
          <w:left w:color="dadce0" w:space="0" w:sz="6" w:val="single"/>
          <w:bottom w:color="dadce0" w:space="0" w:sz="6" w:val="single"/>
          <w:right w:color="dadce0" w:space="0" w:sz="6" w:val="single"/>
          <w:insideH w:color="dadce0" w:space="0" w:sz="6" w:val="single"/>
          <w:insideV w:color="dadce0" w:space="0" w:sz="6" w:val="single"/>
        </w:tblBorders>
        <w:tblLayout w:type="fixed"/>
        <w:tblLook w:val="04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f8f9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Diagnostic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9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Case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9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How to interpret 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Persistent personality or behavioral 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impulsivity, socially inappropriate behavior, reduced empathy, impaired judgment, emotional blunting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Pattern fits acquired disruption of social judgment and behavioral regulation systems.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Evidence of medical or neurological cause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Mild cerebrovascular event affecting frontal and subcortical regions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Temporal and anatomical link supports a medical/neurological etiology.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Brain-behavior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Localized disruption in frontal-striatal circuitry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Frontal-striatal systems are relevant to inhibition, motivation, judgment, and executive control.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Exclusion of primary mood disorder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Patient denies mood disturbance; presentation centers on blunting, poor insight, disinhibition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Mood disorder is less fitting unless additional manic or depressive symptoms are found.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Exclusion of lifelong personality disorder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Family reports changes were not present before the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Acquired onset argues against a longstanding personality disorder.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Missing diagnostic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Premorbid functioning, substance/medication history, full neuropsychological profile, course over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These details would increase confidence and help rule out other conditions.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1"/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40"/>
          <w:szCs w:val="40"/>
          <w:rtl w:val="0"/>
        </w:rPr>
        <w:t xml:space="preserve">Differential Diagnosis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spacing w:after="80" w:before="32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434343"/>
          <w:sz w:val="28"/>
          <w:szCs w:val="28"/>
          <w:rtl w:val="0"/>
        </w:rPr>
        <w:t xml:space="preserve">Behavioral Variant Frontotemporal Dementia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before="0" w:line="276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Discuss overlap with disinhibition, empathy loss, and impaired social judgment. Rule it out or make it secondary because the case emphasizes sudden post-cerebrovascular onset and focal frontal-subcortical injury rather than a progressive neurodegenerative course.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spacing w:after="80" w:before="32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434343"/>
          <w:sz w:val="28"/>
          <w:szCs w:val="28"/>
          <w:rtl w:val="0"/>
        </w:rPr>
        <w:t xml:space="preserve">Bipolar Disorder or Mood Disorder Due to Another Medical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before="0" w:line="276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Discuss overlap with impulsivity and impaired judgment. Rule it out because the case lacks clear manic, hypomanic, or depressive syndrome evidence and instead emphasizes emotional blunting, limited insight, and frontal-striatal damage.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spacing w:after="80" w:before="32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434343"/>
          <w:sz w:val="28"/>
          <w:szCs w:val="28"/>
          <w:rtl w:val="0"/>
        </w:rPr>
        <w:t xml:space="preserve">Personality Disorder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before="0" w:line="276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Discuss possible overlap with socially inappropriate behavior and reduced empathy. Rule it out because personality disorders require enduring patterns, whereas this case describes a clear change from prior functioning after neurological injury.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40"/>
          <w:szCs w:val="40"/>
          <w:rtl w:val="0"/>
        </w:rPr>
        <w:t xml:space="preserve">Evidence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before="0" w:line="276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Use 3-5 peer-reviewed neuroscience or neuropsychology sources. Prioritize sources that directly connect frontal lobe or frontal-subcortical injury to personality change, disinhibition, empathy loss, executive dysfunction, and poor insight.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Frontal lobe damage and acquired personality disturbance.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Orbitofrontal and ventromedial prefrontal cortex roles in social judgment and inhibition.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Frontal-striatal circuitry and executive control.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Vascular cognitive impairment involving frontal-subcortical regions.</w:t>
      </w:r>
    </w:p>
    <w:p w:rsidR="00000000" w:rsidDel="00000000" w:rsidP="00000000" w:rsidRDefault="00000000" w:rsidRPr="00000000" w14:paraId="00000036">
      <w:pPr>
        <w:pStyle w:val="Heading1"/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40"/>
          <w:szCs w:val="40"/>
          <w:rtl w:val="0"/>
        </w:rPr>
        <w:t xml:space="preserve">Good Starting 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Frontal lobe syndrome? Subtypes of acquired personality disturbances in patients with focal brain damage.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https://pmc.ncbi.nlm.nih.gov/articles/PMC6120760/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Personality in frontal lobe disorders.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https://pmc.ncbi.nlm.nih.gov/articles/PMC5786154/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Update on vascular cognitive impairment associated with subcortical small-vessel disease.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https://pmc.ncbi.nlm.nih.gov/articles/PMC5870030/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Frontal Lobe Syndrome, NCBI Bookshelf.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https://www.ncbi.nlm.nih.gov/books/NBK532981/</w:t>
        </w:r>
      </w:hyperlink>
      <w:r w:rsidDel="00000000" w:rsidR="00000000" w:rsidRPr="00000000">
        <w:rPr>
          <w:rtl w:val="0"/>
        </w:rPr>
        <w:t xml:space="preserve">   Use this for clinical orientation; rely on peer-reviewed journal articles for the main evidence 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40"/>
          <w:szCs w:val="40"/>
          <w:rtl w:val="0"/>
        </w:rPr>
        <w:t xml:space="preserve">Final Submission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Word count is 1,000-1,250 words excluding references.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APA formatting is used consistently.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primary diagnosis is stated once, clearly, using current terminology.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DSM-5-TR and ICD-11 criteria are mapped explicitly to case details.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least two differentials are seriously considered and ruled out.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 neuroscience source is used to explain a symptom pattern, not just dropped into the paragraph.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conclusion names missing information that would be most diagnostic.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AI assistance is documented according to Study.com policy.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bCs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bCs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cbi.nlm.nih.gov/books/NBK532981/" TargetMode="External"/><Relationship Id="rId5" Type="http://schemas.openxmlformats.org/officeDocument/2006/relationships/styles" Target="styles.xml"/><Relationship Id="rId6" Type="http://schemas.openxmlformats.org/officeDocument/2006/relationships/hyperlink" Target="https://pmc.ncbi.nlm.nih.gov/articles/PMC6120760/" TargetMode="External"/><Relationship Id="rId7" Type="http://schemas.openxmlformats.org/officeDocument/2006/relationships/hyperlink" Target="https://pmc.ncbi.nlm.nih.gov/articles/PMC5786154/" TargetMode="External"/><Relationship Id="rId8" Type="http://schemas.openxmlformats.org/officeDocument/2006/relationships/hyperlink" Target="https://pmc.ncbi.nlm.nih.gov/articles/PMC5870030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